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oter"/>
        <w:tabs>
          <w:tab w:val="left" w:pos="567" w:leader="none"/>
          <w:tab w:val="center" w:pos="3240" w:leader="none"/>
          <w:tab w:val="center" w:pos="4153" w:leader="none"/>
          <w:tab w:val="right" w:pos="8306" w:leader="none"/>
        </w:tabs>
        <w:rPr/>
      </w:pPr>
      <w:r>
        <w:rPr>
          <w:rFonts w:ascii="Times New Roman" w:hAnsi="Times New Roman"/>
        </w:rPr>
        <w:tab/>
      </w:r>
    </w:p>
    <w:p>
      <w:pPr>
        <w:pStyle w:val="Normal"/>
        <w:rPr/>
      </w:pPr>
      <w:r>
        <w:rPr>
          <w:b/>
          <w:bCs/>
          <w:sz w:val="24"/>
          <w:szCs w:val="24"/>
        </w:rPr>
        <w:t>ROMÂNIA</w:t>
      </w:r>
    </w:p>
    <w:p>
      <w:pPr>
        <w:pStyle w:val="Normal"/>
        <w:rPr/>
      </w:pPr>
      <w:r>
        <w:rPr>
          <w:b/>
          <w:bCs/>
          <w:sz w:val="24"/>
          <w:szCs w:val="24"/>
        </w:rPr>
        <w:t>JUDEŢUL HARGHITA</w:t>
      </w:r>
    </w:p>
    <w:p>
      <w:pPr>
        <w:pStyle w:val="Normal"/>
        <w:rPr/>
      </w:pPr>
      <w:r>
        <w:rPr>
          <w:b/>
          <w:bCs/>
          <w:sz w:val="24"/>
          <w:szCs w:val="24"/>
        </w:rPr>
        <w:t>CONSILIUL LOCAL MUNICIPAL</w:t>
      </w:r>
    </w:p>
    <w:p>
      <w:pPr>
        <w:pStyle w:val="Normal"/>
        <w:rPr/>
      </w:pPr>
      <w:r>
        <w:rPr>
          <w:b/>
          <w:bCs/>
          <w:sz w:val="24"/>
          <w:szCs w:val="24"/>
        </w:rPr>
        <w:t>MIERCUREA–CIUC</w:t>
      </w:r>
    </w:p>
    <w:p>
      <w:pPr>
        <w:pStyle w:val="Normal"/>
        <w:ind w:left="0" w:right="540" w:hanging="0"/>
        <w:rPr/>
      </w:pPr>
      <w:r>
        <w:rPr>
          <w:b/>
          <w:bCs/>
          <w:sz w:val="24"/>
          <w:szCs w:val="24"/>
        </w:rPr>
        <w:t> 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4"/>
        <w:numPr>
          <w:ilvl w:val="3"/>
          <w:numId w:val="2"/>
        </w:numPr>
        <w:rPr/>
      </w:pPr>
      <w:r>
        <w:rPr>
          <w:sz w:val="24"/>
        </w:rPr>
        <w:t xml:space="preserve">  </w:t>
      </w:r>
      <w:r>
        <w:rPr>
          <w:sz w:val="24"/>
        </w:rPr>
        <w:t>HOTĂRÂREA Nr. 297/27.10.2017</w:t>
      </w:r>
    </w:p>
    <w:p>
      <w:pPr>
        <w:pStyle w:val="Textbody1"/>
        <w:rPr/>
      </w:pPr>
      <w:r>
        <w:rPr/>
      </w:r>
    </w:p>
    <w:p>
      <w:pPr>
        <w:pStyle w:val="TextBody"/>
        <w:jc w:val="center"/>
        <w:rPr/>
      </w:pPr>
      <w:r>
        <w:rPr>
          <w:b/>
          <w:bCs/>
          <w:sz w:val="24"/>
          <w:szCs w:val="24"/>
        </w:rPr>
        <w:t xml:space="preserve">privind aprobarea modificării Statului de funcţii şi a Organigramei </w:t>
      </w:r>
      <w:bookmarkStart w:id="0" w:name="__DdeLink__1241_1077991950"/>
      <w:r>
        <w:rPr>
          <w:b/>
          <w:bCs/>
          <w:sz w:val="24"/>
          <w:szCs w:val="24"/>
        </w:rPr>
        <w:t>Muzeului Secuiesc al Ciucului</w:t>
      </w:r>
      <w:bookmarkEnd w:id="0"/>
      <w:r>
        <w:rPr>
          <w:b/>
          <w:bCs/>
          <w:sz w:val="24"/>
          <w:szCs w:val="24"/>
        </w:rPr>
        <w:t>, începând cu data de 01 noiembrie 2017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color w:val="000000"/>
          <w:sz w:val="24"/>
        </w:rPr>
        <w:t xml:space="preserve">  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b w:val="false"/>
          <w:bCs w:val="false"/>
          <w:color w:val="00000A"/>
          <w:sz w:val="24"/>
        </w:rPr>
        <w:tab/>
        <w:t xml:space="preserve">Consiliul Local al Municipiului Miercurea Ciuc, întrunit în şedinţa ordinară din data de </w:t>
      </w:r>
      <w:r>
        <w:rPr>
          <w:b w:val="false"/>
          <w:bCs w:val="false"/>
          <w:color w:val="00000A"/>
          <w:sz w:val="24"/>
          <w:lang w:val="ro-RO"/>
        </w:rPr>
        <w:t>27.10.2017</w:t>
      </w:r>
      <w:r>
        <w:rPr>
          <w:b w:val="false"/>
          <w:bCs w:val="false"/>
          <w:color w:val="00000A"/>
          <w:sz w:val="24"/>
        </w:rPr>
        <w:t>;</w:t>
      </w:r>
    </w:p>
    <w:p>
      <w:pPr>
        <w:pStyle w:val="TextBody"/>
        <w:ind w:left="0" w:right="0" w:firstLine="708"/>
        <w:jc w:val="both"/>
        <w:rPr/>
      </w:pPr>
      <w:r>
        <w:rPr>
          <w:b w:val="false"/>
          <w:bCs w:val="false"/>
          <w:color w:val="00000A"/>
          <w:sz w:val="24"/>
          <w:szCs w:val="24"/>
        </w:rPr>
        <w:tab/>
        <w:t xml:space="preserve">Analizând Expunerea de motive </w:t>
      </w:r>
      <w:r>
        <w:rPr>
          <w:b w:val="false"/>
          <w:bCs w:val="false"/>
          <w:color w:val="00000A"/>
          <w:sz w:val="24"/>
          <w:szCs w:val="24"/>
          <w:lang w:val="hu-HU"/>
        </w:rPr>
        <w:t xml:space="preserve">nr. </w:t>
      </w:r>
      <w:r>
        <w:rPr>
          <w:b w:val="false"/>
          <w:bCs w:val="false"/>
          <w:color w:val="00000A"/>
          <w:sz w:val="24"/>
          <w:szCs w:val="24"/>
          <w:lang w:val="ro-RO"/>
        </w:rPr>
        <w:t>19357</w:t>
      </w:r>
      <w:r>
        <w:rPr>
          <w:b w:val="false"/>
          <w:bCs w:val="false"/>
          <w:color w:val="00000A"/>
          <w:sz w:val="24"/>
          <w:szCs w:val="24"/>
          <w:lang w:val="en-US"/>
        </w:rPr>
        <w:t>/25.10.</w:t>
      </w:r>
      <w:r>
        <w:rPr>
          <w:b w:val="false"/>
          <w:bCs w:val="false"/>
          <w:color w:val="00000A"/>
          <w:sz w:val="24"/>
          <w:szCs w:val="24"/>
          <w:lang w:val="ro-RO"/>
        </w:rPr>
        <w:t>2017</w:t>
      </w:r>
      <w:r>
        <w:rPr>
          <w:b w:val="false"/>
          <w:bCs w:val="false"/>
          <w:color w:val="00000A"/>
          <w:sz w:val="24"/>
          <w:szCs w:val="24"/>
        </w:rPr>
        <w:t xml:space="preserve"> şi Raportul de specialitate  nr. </w:t>
      </w:r>
      <w:r>
        <w:rPr>
          <w:b w:val="false"/>
          <w:bCs w:val="false"/>
          <w:color w:val="00000A"/>
          <w:sz w:val="24"/>
          <w:szCs w:val="24"/>
          <w:lang w:val="ro-RO"/>
        </w:rPr>
        <w:t>19359/</w:t>
      </w:r>
      <w:r>
        <w:rPr>
          <w:b w:val="false"/>
          <w:bCs w:val="false"/>
          <w:color w:val="00000A"/>
          <w:sz w:val="24"/>
          <w:szCs w:val="24"/>
        </w:rPr>
        <w:t xml:space="preserve"> 25</w:t>
      </w:r>
      <w:r>
        <w:rPr>
          <w:b w:val="false"/>
          <w:bCs w:val="false"/>
          <w:color w:val="00000A"/>
          <w:sz w:val="24"/>
          <w:szCs w:val="24"/>
          <w:lang w:val="ro-RO"/>
        </w:rPr>
        <w:t>.10.2017</w:t>
      </w:r>
      <w:r>
        <w:rPr>
          <w:b w:val="false"/>
          <w:bCs w:val="false"/>
          <w:color w:val="00000A"/>
          <w:sz w:val="24"/>
          <w:szCs w:val="24"/>
        </w:rPr>
        <w:t xml:space="preserve"> întocmit de Compartimentul  resurse umane şi salarizare, înregistrate</w:t>
      </w:r>
      <w:r>
        <w:rPr>
          <w:sz w:val="24"/>
          <w:szCs w:val="24"/>
        </w:rPr>
        <w:t>, prin care s-a propus adoptarea unei hotărâri cu privire la modificarea Statului de funcţii şi a Organigramei al aparatului de specialitate al Muzeului Secuiesc al Ciucului, începând cu data de 01 noiembrie 2017;</w:t>
      </w:r>
    </w:p>
    <w:p>
      <w:pPr>
        <w:pStyle w:val="Normal"/>
        <w:ind w:left="0" w:right="0" w:firstLine="708"/>
        <w:jc w:val="both"/>
        <w:rPr/>
      </w:pPr>
      <w:r>
        <w:rPr>
          <w:color w:val="000000"/>
          <w:sz w:val="24"/>
        </w:rPr>
        <w:t>Pe baza rapoartelor comisiei pentru:</w:t>
      </w:r>
    </w:p>
    <w:p>
      <w:pPr>
        <w:pStyle w:val="Normal"/>
        <w:ind w:left="0" w:right="0" w:firstLine="708"/>
        <w:jc w:val="both"/>
        <w:rPr/>
      </w:pPr>
      <w:r>
        <w:rPr>
          <w:color w:val="000000"/>
          <w:sz w:val="24"/>
        </w:rPr>
        <w:t>-</w:t>
      </w:r>
      <w:r>
        <w:rPr/>
        <w:t xml:space="preserve"> </w:t>
      </w:r>
      <w:r>
        <w:rPr>
          <w:sz w:val="24"/>
          <w:szCs w:val="24"/>
        </w:rPr>
        <w:t>administraţia publică locală, juridică, apărarea ordinii publice, respectarea drepturilor şi libertăţilor cetăţenilor;</w:t>
      </w:r>
    </w:p>
    <w:p>
      <w:pPr>
        <w:pStyle w:val="Normal"/>
        <w:ind w:left="0" w:right="0" w:firstLine="708"/>
        <w:jc w:val="both"/>
        <w:rPr/>
      </w:pPr>
      <w:r>
        <w:rPr>
          <w:sz w:val="24"/>
          <w:szCs w:val="24"/>
        </w:rPr>
        <w:t>- de studii, prognoze economico-sociale, buget, finanţe, agricultură, administrarea domeniului public şi privat</w:t>
      </w:r>
      <w:r>
        <w:rPr/>
        <w:t>;</w:t>
      </w:r>
    </w:p>
    <w:p>
      <w:pPr>
        <w:pStyle w:val="Normal"/>
        <w:ind w:left="0" w:right="0" w:firstLine="708"/>
        <w:jc w:val="both"/>
        <w:rPr/>
      </w:pPr>
      <w:r>
        <w:rPr>
          <w:sz w:val="24"/>
          <w:szCs w:val="24"/>
        </w:rPr>
        <w:t>- pentru activităţi ştiinţifice, învăţământ, cultură şi oraşe înfrăţite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b w:val="false"/>
          <w:bCs w:val="false"/>
          <w:color w:val="FF3333"/>
          <w:sz w:val="24"/>
          <w:szCs w:val="24"/>
        </w:rPr>
        <w:tab/>
      </w:r>
      <w:r>
        <w:rPr>
          <w:b w:val="false"/>
          <w:bCs w:val="false"/>
          <w:color w:val="000000"/>
          <w:sz w:val="24"/>
          <w:szCs w:val="24"/>
        </w:rPr>
        <w:t>Având în vedere Legea nr. 311/2003 privind muzeele și colecțiile de artă, republicată</w:t>
      </w:r>
    </w:p>
    <w:p>
      <w:pPr>
        <w:pStyle w:val="TextBody"/>
        <w:spacing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ab/>
        <w:t>Având în vedere HCL nr. 177/2016 privind aprobarea modificării Statului de funcţii şi a Organigramei  Muzeului Secuiesc al Ciucului, începând cu data de 01 iunie 2016</w:t>
      </w:r>
    </w:p>
    <w:p>
      <w:pPr>
        <w:pStyle w:val="Normal"/>
        <w:ind w:left="0" w:right="0" w:firstLine="708"/>
        <w:jc w:val="both"/>
        <w:rPr/>
      </w:pPr>
      <w:r>
        <w:rPr>
          <w:color w:val="000000"/>
          <w:sz w:val="24"/>
        </w:rPr>
        <w:t xml:space="preserve">Având în vedere prevederile Legii-cadru Nr. </w:t>
      </w:r>
      <w:r>
        <w:rPr>
          <w:color w:val="000000"/>
          <w:sz w:val="24"/>
          <w:szCs w:val="24"/>
        </w:rPr>
        <w:t>153/ 2017</w:t>
      </w:r>
      <w:r>
        <w:rPr>
          <w:color w:val="000000"/>
          <w:sz w:val="24"/>
        </w:rPr>
        <w:t xml:space="preserve"> </w:t>
      </w:r>
      <w:r>
        <w:rPr>
          <w:rFonts w:cs="Times New Roman"/>
          <w:b w:val="false"/>
          <w:bCs w:val="false"/>
          <w:color w:val="00000A"/>
          <w:sz w:val="24"/>
          <w:szCs w:val="24"/>
        </w:rPr>
        <w:t>privind salarizarea unitară a personalului plătit din fonduri publice</w:t>
      </w:r>
      <w:r>
        <w:rPr>
          <w:color w:val="000000"/>
          <w:sz w:val="24"/>
        </w:rPr>
        <w:t>;</w:t>
      </w:r>
    </w:p>
    <w:p>
      <w:pPr>
        <w:pStyle w:val="Normal"/>
        <w:ind w:left="0" w:right="0" w:firstLine="708"/>
        <w:jc w:val="both"/>
        <w:rPr/>
      </w:pPr>
      <w:r>
        <w:rPr>
          <w:color w:val="000000"/>
          <w:sz w:val="24"/>
        </w:rPr>
        <w:t>În temeiul art.36, alin(1),(2), litera a) şi alin.(3), litera b), precum şi art.45 alin.(1), şi art.115 alin.(1), litera b) din Legea Administraţiei Publice Locale nr. 215/2001, republicată, cu modificările şi completările ulterioare</w:t>
      </w:r>
      <w:r>
        <w:rPr>
          <w:color w:val="000000"/>
          <w:sz w:val="24"/>
          <w:lang w:val="en-US"/>
        </w:rPr>
        <w:t>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rongEmphasis"/>
          <w:color w:val="000000"/>
          <w:sz w:val="24"/>
        </w:rPr>
        <w:t>H O T Ă R Ă Ş T E: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>
          <w:b/>
          <w:sz w:val="24"/>
          <w:szCs w:val="24"/>
          <w:u w:val="single"/>
        </w:rPr>
        <w:t>Art.1.</w:t>
      </w:r>
      <w:r>
        <w:rPr>
          <w:sz w:val="24"/>
          <w:szCs w:val="24"/>
        </w:rPr>
        <w:t xml:space="preserve"> Se aprobă,</w:t>
      </w:r>
      <w:r>
        <w:rPr>
          <w:b/>
          <w:sz w:val="24"/>
          <w:szCs w:val="24"/>
        </w:rPr>
        <w:t xml:space="preserve"> începând cu data de 01 noiembrie 2017,</w:t>
      </w:r>
      <w:r>
        <w:rPr>
          <w:sz w:val="24"/>
          <w:szCs w:val="24"/>
        </w:rPr>
        <w:t xml:space="preserve"> modificarea Statului de funcţii şi a Organigramei 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aparatului de specialitate al Muzeului Secuiesc al Ciucului Miercurea-Ciuc, conform </w:t>
      </w:r>
      <w:r>
        <w:rPr>
          <w:sz w:val="24"/>
          <w:szCs w:val="24"/>
          <w:u w:val="single"/>
        </w:rPr>
        <w:t xml:space="preserve">anexei </w:t>
      </w:r>
      <w:r>
        <w:rPr>
          <w:sz w:val="24"/>
          <w:szCs w:val="24"/>
          <w:u w:val="single"/>
          <w:lang w:val="hu-HU"/>
        </w:rPr>
        <w:t xml:space="preserve">I </w:t>
      </w:r>
      <w:r>
        <w:rPr>
          <w:sz w:val="24"/>
          <w:szCs w:val="24"/>
          <w:u w:val="single"/>
          <w:lang w:val="ro-RO"/>
        </w:rPr>
        <w:t>și</w:t>
      </w:r>
      <w:r>
        <w:rPr>
          <w:sz w:val="24"/>
          <w:szCs w:val="24"/>
          <w:u w:val="single"/>
          <w:lang w:val="hu-HU"/>
        </w:rPr>
        <w:t xml:space="preserve"> anexei II</w:t>
      </w:r>
      <w:r>
        <w:rPr>
          <w:sz w:val="24"/>
          <w:szCs w:val="24"/>
          <w:u w:val="single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care face parte integrantă din prezenta hotărâre, după cum urmează:</w:t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>
          <w:b/>
          <w:sz w:val="24"/>
          <w:szCs w:val="24"/>
          <w:u w:val="single"/>
        </w:rPr>
        <w:t>Se propune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adoptarea hotărârii cu privire la:</w:t>
      </w:r>
    </w:p>
    <w:p>
      <w:pPr>
        <w:pStyle w:val="Normal"/>
        <w:ind w:left="0" w:right="0" w:firstLine="720"/>
        <w:jc w:val="both"/>
        <w:rPr/>
      </w:pPr>
      <w:bookmarkStart w:id="1" w:name="_GoBack1"/>
      <w:bookmarkStart w:id="2" w:name="_GoBack1"/>
      <w:bookmarkEnd w:id="2"/>
      <w:r>
        <w:rPr/>
      </w:r>
    </w:p>
    <w:p>
      <w:pPr>
        <w:pStyle w:val="Normal"/>
        <w:ind w:left="0" w:right="0" w:firstLine="720"/>
        <w:jc w:val="both"/>
        <w:rPr/>
      </w:pP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  <w:shd w:fill="FFFFFF" w:val="clear"/>
          <w:lang w:val="ro-RO"/>
        </w:rPr>
        <w:t>A. Desfiinţarea prin transfer la Serviciul de programe și proiecte culturale, tineret, sport și turism din cadrul aparatului de specialitate al  Primarului Municipiului Miercurea Ciuc  a următoarelor  posturi:</w:t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  <w:shd w:fill="FFFFFF" w:val="clear"/>
          <w:lang w:val="hu-HU"/>
        </w:rPr>
        <w:tab/>
        <w:t>- 1 post de m</w:t>
      </w: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  <w:shd w:fill="FFFFFF" w:val="clear"/>
          <w:lang w:val="ro-RO"/>
        </w:rPr>
        <w:t>uzeograf, treapta IA, gradația 2 din cadrul  Secției PR</w:t>
      </w:r>
    </w:p>
    <w:p>
      <w:pPr>
        <w:sectPr>
          <w:type w:val="nextPage"/>
          <w:pgSz w:w="11906" w:h="16838"/>
          <w:pgMar w:left="1418" w:right="963" w:header="0" w:top="567" w:footer="0" w:bottom="567" w:gutter="0"/>
          <w:pgNumType w:fmt="decimal"/>
          <w:formProt w:val="false"/>
          <w:textDirection w:val="lrTb"/>
          <w:docGrid w:type="default" w:linePitch="328" w:charSpace="2047"/>
        </w:sectPr>
        <w:pStyle w:val="Normal"/>
        <w:jc w:val="both"/>
        <w:rPr/>
      </w:pP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  <w:shd w:fill="FFFFFF" w:val="clear"/>
          <w:lang w:val="ro-RO"/>
        </w:rPr>
        <w:tab/>
        <w:t>-</w:t>
      </w: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  <w:shd w:fill="FFFFFF" w:val="clear"/>
          <w:lang w:val="hu-HU"/>
        </w:rPr>
        <w:t xml:space="preserve"> 1 post de m</w:t>
      </w: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  <w:shd w:fill="FFFFFF" w:val="clear"/>
          <w:lang w:val="ro-RO"/>
        </w:rPr>
        <w:t>uzeograf, treapta I, gradația 5 din cadrul  Compartimentului întreținere și pază</w:t>
      </w:r>
    </w:p>
    <w:p>
      <w:pPr>
        <w:pStyle w:val="Footer"/>
        <w:rPr/>
      </w:pP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  <w:shd w:fill="FFFFFF" w:val="clear"/>
          <w:lang w:val="ro-RO"/>
        </w:rPr>
        <w:t>B. Desființarea următorului  post vacant :</w:t>
      </w: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  <w:shd w:fill="FFFFFF" w:val="clear"/>
          <w:lang w:val="hu-HU"/>
        </w:rPr>
        <w:t xml:space="preserve">- 1 post de </w:t>
      </w: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  <w:shd w:fill="FFFFFF" w:val="clear"/>
          <w:lang w:val="ro-RO"/>
        </w:rPr>
        <w:t>restaurator, treapta I, gradația 5 din cadrul  Secției de conservare și restaurare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sz w:val="24"/>
          <w:szCs w:val="24"/>
          <w:u w:val="single"/>
          <w:shd w:fill="FFFFFF" w:val="clear"/>
          <w:lang w:val="ro-RO"/>
        </w:rPr>
        <w:t>Art.2.</w:t>
      </w:r>
      <w:r>
        <w:rPr>
          <w:rFonts w:eastAsia="Times New Roman" w:cs="Times New Roman"/>
          <w:b/>
          <w:bCs/>
          <w:i w:val="false"/>
          <w:iCs w:val="false"/>
          <w:color w:val="00000A"/>
          <w:sz w:val="24"/>
          <w:szCs w:val="24"/>
          <w:u w:val="none"/>
          <w:shd w:fill="FFFFFF" w:val="clear"/>
          <w:lang w:val="ro-RO"/>
        </w:rPr>
        <w:t xml:space="preserve"> 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Contractele individuale de muncă ale salariaților ce fac parte din transferul de personal </w:t>
      </w:r>
      <w:r>
        <w:rPr>
          <w:rStyle w:val="StrongEmphasis"/>
          <w:b w:val="false"/>
          <w:bCs w:val="false"/>
          <w:i w:val="false"/>
          <w:iCs w:val="false"/>
          <w:sz w:val="24"/>
          <w:szCs w:val="24"/>
          <w:u w:val="none"/>
        </w:rPr>
        <w:t>nu încetează, ci vor fi transferate primăriei care devine noul angajator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în temeiul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shd w:fill="FFFFFF" w:val="clear"/>
          <w:lang w:val="ro-RO"/>
        </w:rPr>
        <w:t xml:space="preserve">prezentei hotărâri. </w:t>
        <w:tab/>
      </w:r>
    </w:p>
    <w:p>
      <w:pPr>
        <w:pStyle w:val="Normal"/>
        <w:ind w:left="0" w:right="0" w:firstLine="72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sz w:val="24"/>
          <w:szCs w:val="24"/>
          <w:u w:val="single"/>
          <w:shd w:fill="FFFFFF" w:val="clear"/>
          <w:lang w:val="ro-RO"/>
        </w:rPr>
        <w:t>Art.3.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shd w:fill="FFFFFF" w:val="clear"/>
          <w:lang w:val="ro-RO"/>
        </w:rPr>
        <w:t>Mijloacele şi echipamentele de lucru ale salariaţilor transferaţi, mijloace fixe şi obiecte de inventar, vor fi transmise fără plată, pe baza unui inventar prealabil, în administarea Primăriei Municipiului Miercurea-Ciuc,conform prevederilor H.G. 841/1995, completată şi modificată cu H.G. 966/1998, H.G. nr. 411/201, privind procedurile de transmitere fără plată şi valorificare a bunurilor aparţinănd instituţiilor publice. Lista bunurilor transmise va fi aprobată prin H.C.L. M-Ciuc, la proxima şedinţă a Consiliului Local Municipal Miercurea-Ciuc.</w:t>
      </w:r>
    </w:p>
    <w:p>
      <w:pPr>
        <w:pStyle w:val="Normal"/>
        <w:ind w:left="0" w:right="0" w:firstLine="72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sz w:val="24"/>
          <w:szCs w:val="24"/>
          <w:u w:val="single"/>
          <w:shd w:fill="FFFFFF" w:val="clear"/>
          <w:lang w:val="ro-RO"/>
        </w:rPr>
        <w:t xml:space="preserve">Art. 4.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shd w:fill="FFFFFF" w:val="clear"/>
          <w:lang w:val="ro-RO"/>
        </w:rPr>
        <w:t xml:space="preserve"> Personalul transferat confort Art.1, va efectua predatea inventarului personal , actele şi documentele, sau orice alte bunuri, înscrisuri, sarcini etc., privind  sarcinile de serviciu efectuate în prealabil la Muzeul Secuiesc al Ciucului pînă la data de 30.11.2017.</w:t>
      </w:r>
    </w:p>
    <w:p>
      <w:pPr>
        <w:pStyle w:val="Normal"/>
        <w:ind w:left="0" w:right="0" w:firstLine="72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sz w:val="24"/>
          <w:szCs w:val="24"/>
          <w:u w:val="single"/>
          <w:shd w:fill="FFFFFF" w:val="clear"/>
          <w:lang w:val="ro-RO"/>
        </w:rPr>
        <w:t>Art. 5.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shd w:fill="FFFFFF" w:val="clear"/>
          <w:lang w:val="ro-RO"/>
        </w:rPr>
        <w:t xml:space="preserve"> Consilierea juridică, serviciile în domeniul resurselor umane, serviciile de contabilitate și control financiar preventiv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ro-RO"/>
        </w:rPr>
        <w:t xml:space="preserve">începând cu data de 01 noiembrie 2017 se vor efectua de compartimentele de resort din cadrul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shd w:fill="FFFFFF" w:val="clear"/>
          <w:lang w:val="ro-RO"/>
        </w:rPr>
        <w:t>aparatului de specialitate al  Primarului Municipiului Miercurea Ciuc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ro-RO"/>
        </w:rPr>
        <w:t>.</w:t>
      </w:r>
    </w:p>
    <w:p>
      <w:pPr>
        <w:pStyle w:val="Normal"/>
        <w:ind w:left="0" w:right="0" w:firstLine="708"/>
        <w:jc w:val="both"/>
        <w:rPr/>
      </w:pPr>
      <w:r>
        <w:rPr>
          <w:b/>
          <w:i w:val="false"/>
          <w:iCs w:val="false"/>
          <w:sz w:val="24"/>
          <w:szCs w:val="24"/>
          <w:u w:val="single"/>
        </w:rPr>
        <w:t>Art.</w:t>
      </w:r>
      <w:r>
        <w:rPr>
          <w:b/>
          <w:i w:val="false"/>
          <w:iCs w:val="false"/>
          <w:sz w:val="24"/>
          <w:szCs w:val="24"/>
          <w:u w:val="single"/>
          <w:lang w:val="hu-HU"/>
        </w:rPr>
        <w:t>6</w:t>
      </w:r>
      <w:r>
        <w:rPr>
          <w:b/>
          <w:i w:val="false"/>
          <w:iCs w:val="false"/>
          <w:sz w:val="24"/>
          <w:szCs w:val="24"/>
          <w:u w:val="single"/>
        </w:rPr>
        <w:t>.</w:t>
      </w:r>
      <w:r>
        <w:rPr>
          <w:i w:val="false"/>
          <w:iCs w:val="false"/>
          <w:sz w:val="24"/>
          <w:szCs w:val="24"/>
        </w:rPr>
        <w:t xml:space="preserve"> Cu aducerea la îndeplinire a prezentei hotărâ</w:t>
      </w:r>
      <w:r>
        <w:rPr>
          <w:sz w:val="24"/>
          <w:szCs w:val="24"/>
        </w:rPr>
        <w:t>ri se însărcinează Muzeul Secuiesc al Ciucului  și Compartimentul de resurse umane, din cadrul aparatului de specialitate al muzeului.</w:t>
      </w:r>
    </w:p>
    <w:p>
      <w:pPr>
        <w:pStyle w:val="Normal"/>
        <w:ind w:left="0" w:right="0" w:firstLine="708"/>
        <w:jc w:val="both"/>
        <w:rPr/>
      </w:pPr>
      <w:r>
        <w:rPr>
          <w:b/>
          <w:sz w:val="24"/>
          <w:szCs w:val="24"/>
          <w:u w:val="single"/>
        </w:rPr>
        <w:t>Art.</w:t>
      </w:r>
      <w:r>
        <w:rPr>
          <w:b/>
          <w:sz w:val="24"/>
          <w:szCs w:val="24"/>
          <w:u w:val="single"/>
          <w:lang w:val="hu-HU"/>
        </w:rPr>
        <w:t>7</w:t>
      </w:r>
      <w:r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Prezenta Hotărâre </w:t>
      </w:r>
      <w:r>
        <w:rPr>
          <w:sz w:val="24"/>
          <w:szCs w:val="24"/>
          <w:u w:val="single"/>
        </w:rPr>
        <w:t>se comunică</w:t>
      </w:r>
      <w:r>
        <w:rPr>
          <w:sz w:val="24"/>
          <w:szCs w:val="24"/>
        </w:rPr>
        <w:t>:</w:t>
      </w:r>
    </w:p>
    <w:p>
      <w:pPr>
        <w:pStyle w:val="Normal"/>
        <w:ind w:left="0" w:right="0" w:firstLine="708"/>
        <w:jc w:val="both"/>
        <w:rPr/>
      </w:pPr>
      <w:r>
        <w:rPr>
          <w:sz w:val="24"/>
          <w:szCs w:val="24"/>
        </w:rPr>
        <w:t>a) Instituţiei Prefectului Judeţului Harghita;</w:t>
      </w:r>
    </w:p>
    <w:p>
      <w:pPr>
        <w:pStyle w:val="Normal"/>
        <w:ind w:left="0" w:right="0" w:firstLine="708"/>
        <w:jc w:val="both"/>
        <w:rPr/>
      </w:pPr>
      <w:r>
        <w:rPr>
          <w:sz w:val="24"/>
          <w:szCs w:val="24"/>
        </w:rPr>
        <w:t>b) Primarului municipiului R</w:t>
      </w:r>
      <w:r>
        <w:rPr>
          <w:sz w:val="24"/>
          <w:szCs w:val="24"/>
          <w:lang w:val="hu-HU"/>
        </w:rPr>
        <w:t>áduly Róbert Kálmán</w:t>
      </w:r>
      <w:r>
        <w:rPr>
          <w:sz w:val="24"/>
          <w:szCs w:val="24"/>
        </w:rPr>
        <w:t xml:space="preserve">; </w:t>
      </w:r>
    </w:p>
    <w:p>
      <w:pPr>
        <w:pStyle w:val="Normal"/>
        <w:ind w:left="0" w:right="0" w:firstLine="708"/>
        <w:jc w:val="both"/>
        <w:rPr/>
      </w:pPr>
      <w:r>
        <w:rPr>
          <w:sz w:val="24"/>
          <w:szCs w:val="24"/>
        </w:rPr>
        <w:t>c) Direcţiei economice;</w:t>
      </w:r>
    </w:p>
    <w:p>
      <w:pPr>
        <w:pStyle w:val="Normal"/>
        <w:ind w:left="0" w:right="0" w:firstLine="708"/>
        <w:jc w:val="both"/>
        <w:rPr/>
      </w:pPr>
      <w:r>
        <w:rPr>
          <w:color w:val="000000"/>
          <w:sz w:val="24"/>
          <w:szCs w:val="24"/>
        </w:rPr>
        <w:t>d) Muzeului Secuiesc al Ciucului;</w:t>
      </w:r>
    </w:p>
    <w:p>
      <w:pPr>
        <w:pStyle w:val="Normal"/>
        <w:ind w:left="0" w:right="0" w:firstLine="708"/>
        <w:jc w:val="both"/>
        <w:rPr/>
      </w:pPr>
      <w:r>
        <w:rPr>
          <w:sz w:val="24"/>
          <w:szCs w:val="24"/>
        </w:rPr>
        <w:t>e) Compartimentului de resurse umane şi salarizare;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tbl>
      <w:tblPr>
        <w:tblW w:w="9164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4575"/>
      </w:tblGrid>
      <w:tr>
        <w:trPr/>
        <w:tc>
          <w:tcPr>
            <w:tcW w:w="4588" w:type="dxa"/>
            <w:tcBorders/>
            <w:shd w:fill="FFFFFF" w:val="clear"/>
          </w:tcPr>
          <w:p>
            <w:pPr>
              <w:pStyle w:val="TableContents"/>
              <w:spacing w:lineRule="auto" w:line="288" w:before="0" w:after="284"/>
              <w:rPr/>
            </w:pPr>
            <w:r>
              <w:rPr>
                <w:sz w:val="24"/>
                <w:szCs w:val="24"/>
              </w:rPr>
              <w:t xml:space="preserve">        </w:t>
            </w:r>
          </w:p>
          <w:p>
            <w:pPr>
              <w:pStyle w:val="TableContents"/>
              <w:spacing w:lineRule="auto" w:line="288" w:before="0" w:after="284"/>
              <w:rPr/>
            </w:pPr>
            <w:r>
              <w:rPr>
                <w:sz w:val="24"/>
                <w:szCs w:val="24"/>
              </w:rPr>
              <w:t xml:space="preserve">                 </w:t>
            </w:r>
            <w:r>
              <w:rPr>
                <w:b/>
                <w:sz w:val="24"/>
                <w:szCs w:val="24"/>
              </w:rPr>
              <w:t>Preşedintele şedinţei</w:t>
            </w:r>
          </w:p>
          <w:p>
            <w:pPr>
              <w:pStyle w:val="TableContents"/>
              <w:spacing w:lineRule="auto" w:line="288" w:before="0" w:after="283"/>
              <w:rPr/>
            </w:pPr>
            <w:r>
              <w:rPr>
                <w:sz w:val="24"/>
                <w:szCs w:val="24"/>
              </w:rPr>
              <w:t xml:space="preserve">           </w:t>
            </w:r>
            <w:r>
              <w:rPr>
                <w:b/>
                <w:sz w:val="24"/>
                <w:szCs w:val="24"/>
              </w:rPr>
              <w:t>FÜLÖP ÁRPÁD ZOLTÁN</w:t>
            </w:r>
          </w:p>
        </w:tc>
        <w:tc>
          <w:tcPr>
            <w:tcW w:w="4575" w:type="dxa"/>
            <w:tcBorders/>
            <w:shd w:fill="FFFFFF" w:val="clear"/>
          </w:tcPr>
          <w:p>
            <w:pPr>
              <w:pStyle w:val="TableContents"/>
              <w:spacing w:lineRule="auto" w:line="288" w:before="0" w:after="284"/>
              <w:jc w:val="center"/>
              <w:rPr/>
            </w:pPr>
            <w:r>
              <w:rPr>
                <w:sz w:val="24"/>
                <w:szCs w:val="24"/>
              </w:rPr>
              <w:t> </w:t>
            </w:r>
          </w:p>
          <w:p>
            <w:pPr>
              <w:pStyle w:val="TableContents"/>
              <w:spacing w:lineRule="auto" w:line="288" w:before="0" w:after="284"/>
              <w:jc w:val="center"/>
              <w:rPr/>
            </w:pPr>
            <w:r>
              <w:rPr>
                <w:b/>
                <w:sz w:val="24"/>
                <w:szCs w:val="24"/>
              </w:rPr>
              <w:t>Contrasemnează pentru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AU"/>
              </w:rPr>
              <w:t xml:space="preserve">legalitate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Secretarul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b/>
                <w:sz w:val="24"/>
                <w:szCs w:val="24"/>
                <w:lang w:val="en-AU"/>
              </w:rPr>
              <w:t>municipiului</w:t>
            </w:r>
          </w:p>
          <w:p>
            <w:pPr>
              <w:pStyle w:val="TableContents"/>
              <w:spacing w:lineRule="auto" w:line="288" w:before="0" w:after="283"/>
              <w:jc w:val="center"/>
              <w:rPr/>
            </w:pPr>
            <w:r>
              <w:rPr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WOHLFART RUDOLF</w:t>
            </w:r>
          </w:p>
        </w:tc>
      </w:tr>
    </w:tbl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/>
      </w:r>
    </w:p>
    <w:p>
      <w:pPr>
        <w:pStyle w:val="Header"/>
        <w:jc w:val="center"/>
        <w:rPr/>
      </w:pPr>
      <w:r>
        <w:rPr>
          <w:b/>
          <w:i/>
          <w:sz w:val="32"/>
          <w:lang w:val="it-IT"/>
        </w:rPr>
        <w:t xml:space="preserve">                   </w:t>
      </w:r>
    </w:p>
    <w:p>
      <w:pPr>
        <w:pStyle w:val="Normal"/>
        <w:jc w:val="right"/>
        <w:rPr/>
      </w:pPr>
      <w:r>
        <w:rPr>
          <w:b/>
          <w:sz w:val="24"/>
          <w:u w:val="single"/>
        </w:rPr>
        <w:t>Anexa nr. 1 la Hotărârea n</w:t>
      </w:r>
      <w:r>
        <w:rPr>
          <w:b/>
          <w:sz w:val="24"/>
          <w:u w:val="single"/>
          <w:lang w:val="en-US"/>
        </w:rPr>
        <w:t xml:space="preserve">r. </w:t>
      </w:r>
      <w:r>
        <w:rPr>
          <w:b/>
          <w:sz w:val="24"/>
          <w:u w:val="single"/>
        </w:rPr>
        <w:t xml:space="preserve"> 2</w:t>
      </w:r>
      <w:r>
        <w:rPr>
          <w:b/>
          <w:sz w:val="24"/>
          <w:u w:val="single"/>
          <w:lang w:val="en-US"/>
        </w:rPr>
        <w:t>97/2017</w:t>
      </w:r>
      <w:r>
        <w:rPr>
          <w:b/>
          <w:sz w:val="24"/>
          <w:u w:val="single"/>
        </w:rPr>
        <w:t xml:space="preserve"> </w:t>
      </w:r>
    </w:p>
    <w:p>
      <w:pPr>
        <w:pStyle w:val="Heading1"/>
        <w:numPr>
          <w:ilvl w:val="0"/>
          <w:numId w:val="1"/>
        </w:numPr>
        <w:tabs>
          <w:tab w:val="left" w:pos="1425" w:leader="none"/>
        </w:tabs>
        <w:ind w:left="0" w:right="0" w:hanging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left" w:pos="1425" w:leader="none"/>
        </w:tabs>
        <w:ind w:left="0" w:right="0" w:hanging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left" w:pos="1425" w:leader="none"/>
        </w:tabs>
        <w:ind w:left="0" w:right="0" w:hanging="0"/>
        <w:jc w:val="left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</w:t>
      </w:r>
      <w:r>
        <w:rPr>
          <w:rFonts w:cs="Times New Roman" w:ascii="Times New Roman" w:hAnsi="Times New Roman"/>
          <w:sz w:val="20"/>
          <w:szCs w:val="20"/>
        </w:rPr>
        <w:t>STATUL  DE FUNCŢII AL MUZEULUI SECUIESC AL CIUCULUI</w:t>
      </w:r>
    </w:p>
    <w:p>
      <w:pPr>
        <w:pStyle w:val="Normal"/>
        <w:rPr/>
      </w:pPr>
      <w:r>
        <w:rPr>
          <w:lang w:val="hu-HU"/>
        </w:rPr>
        <w:t xml:space="preserve">                                      </w:t>
      </w:r>
    </w:p>
    <w:tbl>
      <w:tblPr>
        <w:tblW w:w="7273" w:type="dxa"/>
        <w:jc w:val="left"/>
        <w:tblInd w:w="4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86"/>
        <w:gridCol w:w="3686"/>
        <w:gridCol w:w="912"/>
        <w:gridCol w:w="963"/>
        <w:gridCol w:w="1126"/>
      </w:tblGrid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NR.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COMPARTIMENTUL/FUNCTII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GRADATIE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STUDII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GRAD/</w:t>
            </w:r>
          </w:p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TREAPTA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lang w:val="hu-HU"/>
              </w:rPr>
              <w:t>Compartiment financiar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Contabil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2</w:t>
            </w:r>
            <w:r>
              <w:rPr>
                <w:lang w:val="hu-HU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Gestionar custode sala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lang w:val="hu-HU"/>
              </w:rPr>
              <w:t>Sectia de istorie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Muzeograf (director)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 xml:space="preserve">Muzeograf 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Muzeograf - suspendat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Muzeograf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Conservator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lang w:val="hu-HU"/>
              </w:rPr>
              <w:t>Sectia de arheologie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Muzeograf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Muzeograf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 xml:space="preserve">Conservator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 xml:space="preserve">Conservator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lang w:val="hu-HU"/>
              </w:rPr>
              <w:t>Sectia de etnografie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 xml:space="preserve">Muzeograf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lang w:val="hu-HU"/>
              </w:rPr>
              <w:t>Sectia de arte plastice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Muzeograf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Muzeograf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lang w:val="hu-HU"/>
              </w:rPr>
              <w:t>Sectia de conservare-restaurare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Restaurator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16.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Restaurator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lang w:val="hu-HU"/>
              </w:rPr>
              <w:t>Sectia PR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Pedagog muzeal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IA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lang w:val="hu-HU"/>
              </w:rPr>
              <w:t xml:space="preserve">Compartiment intretinere si paza 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Paznic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 xml:space="preserve">Paznic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G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Paznic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G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Paznic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G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Muncitor intretinator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G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ro-RO"/>
              </w:rPr>
              <w:t>23.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Muncitor intretinator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G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hu-HU"/>
              </w:rPr>
              <w:t>I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lang w:val="hu-HU"/>
        </w:rPr>
        <w:t xml:space="preserve">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164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4575"/>
      </w:tblGrid>
      <w:tr>
        <w:trPr/>
        <w:tc>
          <w:tcPr>
            <w:tcW w:w="4588" w:type="dxa"/>
            <w:tcBorders/>
            <w:shd w:fill="FFFFFF" w:val="clear"/>
          </w:tcPr>
          <w:p>
            <w:pPr>
              <w:pStyle w:val="TableContents"/>
              <w:spacing w:lineRule="auto" w:line="288" w:before="0" w:after="284"/>
              <w:rPr/>
            </w:pPr>
            <w:r>
              <w:rPr>
                <w:sz w:val="24"/>
                <w:szCs w:val="24"/>
              </w:rPr>
              <w:t xml:space="preserve">        </w:t>
            </w:r>
          </w:p>
          <w:p>
            <w:pPr>
              <w:pStyle w:val="TableContents"/>
              <w:spacing w:lineRule="auto" w:line="288" w:before="0" w:after="284"/>
              <w:rPr/>
            </w:pPr>
            <w:r>
              <w:rPr>
                <w:sz w:val="24"/>
                <w:szCs w:val="24"/>
              </w:rPr>
              <w:t xml:space="preserve">                 </w:t>
            </w:r>
            <w:r>
              <w:rPr>
                <w:b/>
                <w:sz w:val="24"/>
                <w:szCs w:val="24"/>
              </w:rPr>
              <w:t>Preşedintele şedinţei</w:t>
            </w:r>
          </w:p>
          <w:p>
            <w:pPr>
              <w:pStyle w:val="TableContents"/>
              <w:spacing w:lineRule="auto" w:line="288" w:before="0" w:after="283"/>
              <w:rPr/>
            </w:pPr>
            <w:r>
              <w:rPr>
                <w:sz w:val="24"/>
                <w:szCs w:val="24"/>
              </w:rPr>
              <w:t xml:space="preserve">           </w:t>
            </w:r>
            <w:r>
              <w:rPr>
                <w:b/>
                <w:sz w:val="24"/>
                <w:szCs w:val="24"/>
              </w:rPr>
              <w:t>FÜLÖP ÁRPÁD ZOLTÁN</w:t>
            </w:r>
          </w:p>
        </w:tc>
        <w:tc>
          <w:tcPr>
            <w:tcW w:w="4575" w:type="dxa"/>
            <w:tcBorders/>
            <w:shd w:fill="FFFFFF" w:val="clear"/>
          </w:tcPr>
          <w:p>
            <w:pPr>
              <w:pStyle w:val="TableContents"/>
              <w:spacing w:lineRule="auto" w:line="288" w:before="0" w:after="284"/>
              <w:jc w:val="center"/>
              <w:rPr/>
            </w:pPr>
            <w:r>
              <w:rPr>
                <w:sz w:val="24"/>
                <w:szCs w:val="24"/>
              </w:rPr>
              <w:t> </w:t>
            </w:r>
          </w:p>
          <w:p>
            <w:pPr>
              <w:pStyle w:val="TableContents"/>
              <w:spacing w:lineRule="auto" w:line="288" w:before="0" w:after="284"/>
              <w:jc w:val="center"/>
              <w:rPr/>
            </w:pPr>
            <w:r>
              <w:rPr>
                <w:b/>
                <w:sz w:val="24"/>
                <w:szCs w:val="24"/>
              </w:rPr>
              <w:t>Contrasemnează pentru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AU"/>
              </w:rPr>
              <w:t xml:space="preserve">legalitate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Secretarul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b/>
                <w:sz w:val="24"/>
                <w:szCs w:val="24"/>
                <w:lang w:val="en-AU"/>
              </w:rPr>
              <w:t>municipiului</w:t>
            </w:r>
          </w:p>
          <w:p>
            <w:pPr>
              <w:pStyle w:val="TableContents"/>
              <w:spacing w:lineRule="auto" w:line="288" w:before="0" w:after="283"/>
              <w:jc w:val="center"/>
              <w:rPr/>
            </w:pPr>
            <w:r>
              <w:rPr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WOHLFART RUDOLF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er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5"/>
        <w:numPr>
          <w:ilvl w:val="4"/>
          <w:numId w:val="2"/>
        </w:numPr>
        <w:rPr/>
      </w:pPr>
      <w:r>
        <w:rPr/>
      </w:r>
    </w:p>
    <w:p>
      <w:pPr>
        <w:pStyle w:val="Heading5"/>
        <w:numPr>
          <w:ilvl w:val="4"/>
          <w:numId w:val="2"/>
        </w:numPr>
        <w:rPr/>
      </w:pPr>
      <w:r>
        <w:rPr/>
      </w:r>
    </w:p>
    <w:p>
      <w:pPr>
        <w:pStyle w:val="Heading5"/>
        <w:numPr>
          <w:ilvl w:val="4"/>
          <w:numId w:val="2"/>
        </w:numPr>
        <w:rPr/>
      </w:pPr>
      <w:r>
        <w:rPr/>
      </w:r>
    </w:p>
    <w:p>
      <w:pPr>
        <w:pStyle w:val="Heading5"/>
        <w:numPr>
          <w:ilvl w:val="4"/>
          <w:numId w:val="2"/>
        </w:numPr>
        <w:rPr/>
      </w:pPr>
      <w:r>
        <w:rPr/>
      </w:r>
    </w:p>
    <w:p>
      <w:pPr>
        <w:pStyle w:val="Heading5"/>
        <w:numPr>
          <w:ilvl w:val="4"/>
          <w:numId w:val="2"/>
        </w:numPr>
        <w:rPr/>
      </w:pPr>
      <w:r>
        <w:rPr/>
      </w:r>
    </w:p>
    <w:p>
      <w:pPr>
        <w:pStyle w:val="Heading5"/>
        <w:numPr>
          <w:ilvl w:val="4"/>
          <w:numId w:val="2"/>
        </w:numPr>
        <w:rPr/>
      </w:pPr>
      <w:r>
        <w:rPr/>
      </w:r>
    </w:p>
    <w:p>
      <w:pPr>
        <w:pStyle w:val="Heading5"/>
        <w:numPr>
          <w:ilvl w:val="4"/>
          <w:numId w:val="2"/>
        </w:numPr>
        <w:rPr/>
      </w:pPr>
      <w:r>
        <w:rPr/>
      </w:r>
    </w:p>
    <w:p>
      <w:pPr>
        <w:pStyle w:val="Footer"/>
        <w:tabs>
          <w:tab w:val="left" w:pos="567" w:leader="none"/>
          <w:tab w:val="center" w:pos="3240" w:leader="none"/>
          <w:tab w:val="center" w:pos="4153" w:leader="none"/>
          <w:tab w:val="right" w:pos="8306" w:leader="none"/>
        </w:tabs>
        <w:rPr/>
      </w:pPr>
      <w:r>
        <w:rPr/>
      </w:r>
    </w:p>
    <w:p>
      <w:pPr>
        <w:pStyle w:val="Footer"/>
        <w:tabs>
          <w:tab w:val="left" w:pos="567" w:leader="none"/>
          <w:tab w:val="center" w:pos="3240" w:leader="none"/>
          <w:tab w:val="center" w:pos="4153" w:leader="none"/>
          <w:tab w:val="right" w:pos="8306" w:leader="none"/>
        </w:tabs>
        <w:rPr/>
      </w:pPr>
      <w:r>
        <w:rPr/>
      </w:r>
    </w:p>
    <w:sectPr>
      <w:footerReference w:type="default" r:id="rId2"/>
      <w:type w:val="nextPage"/>
      <w:pgSz w:w="11906" w:h="16838"/>
      <w:pgMar w:left="1418" w:right="567" w:header="0" w:top="567" w:footer="0" w:bottom="567" w:gutter="0"/>
      <w:pgNumType w:fmt="decimal"/>
      <w:formProt w:val="false"/>
      <w:textDirection w:val="lrTb"/>
      <w:docGrid w:type="default" w:linePitch="328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left="0" w:right="360" w:hanging="0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o-RO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o-RO" w:eastAsia="en-US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qFormat/>
    <w:pPr>
      <w:keepNext/>
      <w:outlineLvl w:val="5"/>
    </w:pPr>
    <w:rPr>
      <w:b/>
      <w:sz w:val="24"/>
      <w:u w:val="single"/>
    </w:rPr>
  </w:style>
  <w:style w:type="paragraph" w:styleId="Heading7">
    <w:name w:val="Heading 7"/>
    <w:basedOn w:val="Normal"/>
    <w:qFormat/>
    <w:pPr>
      <w:keepNext/>
      <w:outlineLvl w:val="6"/>
    </w:pPr>
    <w:rPr>
      <w:b/>
      <w:sz w:val="24"/>
      <w:lang w:val="hu-HU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Times New Roman" w:cs="Arial"/>
      <w:b/>
      <w:bCs/>
      <w:sz w:val="32"/>
      <w:szCs w:val="32"/>
      <w:lang w:val="ro-RO"/>
    </w:rPr>
  </w:style>
  <w:style w:type="character" w:styleId="Heading3Char">
    <w:name w:val="Heading 3 Char"/>
    <w:basedOn w:val="DefaultParagraphFont"/>
    <w:qFormat/>
    <w:rPr>
      <w:rFonts w:ascii="Arial" w:hAnsi="Arial" w:eastAsia="Times New Roman" w:cs="Arial"/>
      <w:b/>
      <w:bCs/>
      <w:sz w:val="26"/>
      <w:szCs w:val="26"/>
      <w:lang w:val="ro-RO"/>
    </w:rPr>
  </w:style>
  <w:style w:type="character" w:styleId="Heading4Char">
    <w:name w:val="Heading 4 Char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val="ro-RO"/>
    </w:rPr>
  </w:style>
  <w:style w:type="character" w:styleId="Heading5Char">
    <w:name w:val="Heading 5 Char"/>
    <w:basedOn w:val="DefaultParagraphFont"/>
    <w:qFormat/>
    <w:rPr>
      <w:rFonts w:ascii="Times New Roman" w:hAnsi="Times New Roman" w:eastAsia="Times New Roman" w:cs="Times New Roman"/>
      <w:sz w:val="28"/>
      <w:szCs w:val="20"/>
      <w:lang w:val="ro-RO"/>
    </w:rPr>
  </w:style>
  <w:style w:type="character" w:styleId="Heading6Char">
    <w:name w:val="Heading 6 Char"/>
    <w:basedOn w:val="DefaultParagraphFont"/>
    <w:qFormat/>
    <w:rPr>
      <w:rFonts w:ascii="Times New Roman" w:hAnsi="Times New Roman" w:eastAsia="Times New Roman" w:cs="Times New Roman"/>
      <w:b/>
      <w:sz w:val="24"/>
      <w:szCs w:val="20"/>
      <w:u w:val="single"/>
      <w:lang w:val="ro-RO"/>
    </w:rPr>
  </w:style>
  <w:style w:type="character" w:styleId="Heading7Char">
    <w:name w:val="Heading 7 Char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val="hu-HU"/>
    </w:rPr>
  </w:style>
  <w:style w:type="character" w:styleId="FooterChar">
    <w:name w:val="Footer Char"/>
    <w:basedOn w:val="DefaultParagraphFont"/>
    <w:qFormat/>
    <w:rPr>
      <w:rFonts w:ascii="Arial" w:hAnsi="Arial" w:eastAsia="Times New Roman" w:cs="Times New Roman"/>
      <w:sz w:val="24"/>
      <w:szCs w:val="20"/>
      <w:lang w:val="en-AU"/>
    </w:rPr>
  </w:style>
  <w:style w:type="character" w:styleId="HeaderChar">
    <w:name w:val="Header Char"/>
    <w:basedOn w:val="DefaultParagraphFont"/>
    <w:qFormat/>
    <w:rPr>
      <w:rFonts w:ascii="Times New Roman" w:hAnsi="Times New Roman" w:eastAsia="Times New Roman" w:cs="Times New Roman"/>
      <w:sz w:val="20"/>
      <w:szCs w:val="20"/>
      <w:lang w:val="ro-RO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basedOn w:val="DefaultParagraphFont"/>
    <w:rPr>
      <w:color w:val="0000FF"/>
      <w:u w:val="single"/>
      <w:lang w:val="en-US" w:eastAsia="en-US" w:bidi="en-US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qFormat/>
    <w:rPr/>
  </w:style>
  <w:style w:type="character" w:styleId="ListLabel1">
    <w:name w:val="ListLabel 1"/>
    <w:qFormat/>
    <w:rPr>
      <w:b/>
      <w:i w:val="false"/>
      <w:sz w:val="24"/>
    </w:rPr>
  </w:style>
  <w:style w:type="character" w:styleId="ListLabel2">
    <w:name w:val="ListLabel 2"/>
    <w:qFormat/>
    <w:rPr>
      <w:rFonts w:eastAsia="Times New Roman" w:cs="Times New Roman"/>
      <w:b w:val="false"/>
      <w:sz w:val="24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  <w:i w:val="false"/>
      <w:sz w:val="24"/>
    </w:rPr>
  </w:style>
  <w:style w:type="character" w:styleId="ListLabel5">
    <w:name w:val="ListLabel 5"/>
    <w:qFormat/>
    <w:rPr>
      <w:rFonts w:cs="Times New Roman"/>
      <w:b w:val="false"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b/>
      <w:i w:val="false"/>
      <w:sz w:val="24"/>
    </w:rPr>
  </w:style>
  <w:style w:type="character" w:styleId="ListLabel10">
    <w:name w:val="ListLabel 10"/>
    <w:qFormat/>
    <w:rPr>
      <w:rFonts w:cs="Times New Roman"/>
      <w:b w:val="false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WWDefaultParagraphFont">
    <w:name w:val="WW-Default Paragraph Font"/>
    <w:qFormat/>
    <w:rPr/>
  </w:style>
  <w:style w:type="character" w:styleId="ListLabel14">
    <w:name w:val="ListLabel 14"/>
    <w:qFormat/>
    <w:rPr>
      <w:b/>
      <w:i w:val="false"/>
      <w:sz w:val="24"/>
    </w:rPr>
  </w:style>
  <w:style w:type="character" w:styleId="ListLabel15">
    <w:name w:val="ListLabel 15"/>
    <w:qFormat/>
    <w:rPr>
      <w:b/>
      <w:i w:val="false"/>
      <w:sz w:val="24"/>
    </w:rPr>
  </w:style>
  <w:style w:type="character" w:styleId="WW8Num4z0">
    <w:name w:val="WW8Num4z0"/>
    <w:qFormat/>
    <w:rPr>
      <w:rFonts w:cs="Times New Roman"/>
      <w:b/>
      <w:i w:val="false"/>
      <w:sz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ListLabel16">
    <w:name w:val="ListLabel 16"/>
    <w:qFormat/>
    <w:rPr>
      <w:b/>
      <w:i w:val="false"/>
      <w:sz w:val="24"/>
    </w:rPr>
  </w:style>
  <w:style w:type="character" w:styleId="ListLabel17">
    <w:name w:val="ListLabel 17"/>
    <w:qFormat/>
    <w:rPr>
      <w:rFonts w:cs="Times New Roman"/>
      <w:b/>
      <w:i w:val="false"/>
      <w:sz w:val="24"/>
    </w:rPr>
  </w:style>
  <w:style w:type="character" w:styleId="ListLabel18">
    <w:name w:val="ListLabel 18"/>
    <w:qFormat/>
    <w:rPr>
      <w:b/>
      <w:i w:val="false"/>
      <w:sz w:val="24"/>
    </w:rPr>
  </w:style>
  <w:style w:type="character" w:styleId="ListLabel19">
    <w:name w:val="ListLabel 19"/>
    <w:qFormat/>
    <w:rPr>
      <w:rFonts w:cs="Times New Roman"/>
      <w:b/>
      <w:i w:val="false"/>
      <w:sz w:val="24"/>
    </w:rPr>
  </w:style>
  <w:style w:type="character" w:styleId="ListLabel20">
    <w:name w:val="ListLabel 20"/>
    <w:qFormat/>
    <w:rPr>
      <w:b/>
      <w:i w:val="false"/>
      <w:sz w:val="24"/>
    </w:rPr>
  </w:style>
  <w:style w:type="character" w:styleId="ListLabel21">
    <w:name w:val="ListLabel 21"/>
    <w:qFormat/>
    <w:rPr>
      <w:rFonts w:cs="Times New Roman"/>
      <w:b/>
      <w:i w:val="false"/>
      <w:sz w:val="24"/>
    </w:rPr>
  </w:style>
  <w:style w:type="character" w:styleId="ListLabel22">
    <w:name w:val="ListLabel 22"/>
    <w:qFormat/>
    <w:rPr>
      <w:b/>
      <w:i w:val="false"/>
      <w:sz w:val="24"/>
    </w:rPr>
  </w:style>
  <w:style w:type="character" w:styleId="ListLabel23">
    <w:name w:val="ListLabel 23"/>
    <w:qFormat/>
    <w:rPr>
      <w:rFonts w:cs="Times New Roman"/>
      <w:b/>
      <w:i w:val="false"/>
      <w:sz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ro-RO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extbody1">
    <w:name w:val="Text body"/>
    <w:basedOn w:val="Normal"/>
    <w:qFormat/>
    <w:pPr>
      <w:spacing w:before="0" w:after="120"/>
    </w:pPr>
    <w:rPr/>
  </w:style>
  <w:style w:type="paragraph" w:styleId="Footer">
    <w:name w:val="Footer"/>
    <w:basedOn w:val="Normal"/>
    <w:pPr>
      <w:widowControl w:val="false"/>
      <w:suppressLineNumbers/>
      <w:tabs>
        <w:tab w:val="center" w:pos="4153" w:leader="none"/>
        <w:tab w:val="right" w:pos="8306" w:leader="none"/>
      </w:tabs>
    </w:pPr>
    <w:rPr>
      <w:rFonts w:ascii="Arial" w:hAnsi="Arial"/>
      <w:sz w:val="24"/>
      <w:lang w:val="en-AU"/>
    </w:rPr>
  </w:style>
  <w:style w:type="paragraph" w:styleId="Header">
    <w:name w:val="Header"/>
    <w:basedOn w:val="Normal"/>
    <w:pPr>
      <w:suppressLineNumbers/>
      <w:tabs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Textbody1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Application>LibreOffice/5.2.3.3$Windows_X86_64 LibreOffice_project/d54a8868f08a7b39642414cf2c8ef2f228f780cf</Application>
  <Pages>4</Pages>
  <Words>791</Words>
  <Characters>4576</Characters>
  <CharactersWithSpaces>5403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2017-05-11T07:10:00Z</dcterms:created>
  <dc:creator>Evike</dc:creator>
  <dc:description/>
  <dc:language>ro</dc:language>
  <cp:lastModifiedBy/>
  <cp:lastPrinted>2017-10-26T18:08:55Z</cp:lastPrinted>
  <dcterms:modified xsi:type="dcterms:W3CDTF">2017-12-04T11:57:55Z</dcterms:modified>
  <cp:revision>70</cp:revision>
  <dc:subject/>
  <dc:title/>
</cp:coreProperties>
</file>